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34D2F2CB" w:rsidR="005A5173" w:rsidRPr="00095C37" w:rsidRDefault="00396C43" w:rsidP="00282287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Difteria</w:t>
          </w:r>
          <w:r w:rsidR="00EA74D7">
            <w:rPr>
              <w:rFonts w:eastAsia="Times New Roman" w:cs="Tahoma"/>
              <w:kern w:val="36"/>
              <w:lang w:eastAsia="es-GT"/>
            </w:rPr>
            <w:t xml:space="preserve">/ </w:t>
          </w:r>
          <w:proofErr w:type="spellStart"/>
          <w:r>
            <w:rPr>
              <w:rFonts w:eastAsia="Times New Roman" w:cs="Tahoma"/>
              <w:i/>
              <w:kern w:val="36"/>
              <w:lang w:eastAsia="es-GT"/>
            </w:rPr>
            <w:t>Corynebacterium</w:t>
          </w:r>
          <w:proofErr w:type="spellEnd"/>
          <w:r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proofErr w:type="spellStart"/>
          <w:r>
            <w:rPr>
              <w:rFonts w:eastAsia="Times New Roman" w:cs="Tahoma"/>
              <w:i/>
              <w:kern w:val="36"/>
              <w:lang w:eastAsia="es-GT"/>
            </w:rPr>
            <w:t>dipht</w:t>
          </w:r>
          <w:r w:rsidR="00654BC6">
            <w:rPr>
              <w:rFonts w:eastAsia="Times New Roman" w:cs="Tahoma"/>
              <w:i/>
              <w:kern w:val="36"/>
              <w:lang w:eastAsia="es-GT"/>
            </w:rPr>
            <w:t>h</w:t>
          </w:r>
          <w:r>
            <w:rPr>
              <w:rFonts w:eastAsia="Times New Roman" w:cs="Tahoma"/>
              <w:i/>
              <w:kern w:val="36"/>
              <w:lang w:eastAsia="es-GT"/>
            </w:rPr>
            <w:t>eriae</w:t>
          </w:r>
          <w:proofErr w:type="spellEnd"/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77777777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5F3753E4" w14:textId="0D31C30A" w:rsidR="005A5173" w:rsidRPr="00095C37" w:rsidRDefault="009A5631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Cultivo e identificación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056562B3" w:rsidR="000D2D39" w:rsidRPr="00095C37" w:rsidRDefault="00EA74D7" w:rsidP="000D2D3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Ficha epi</w:t>
          </w:r>
          <w:r w:rsidR="00431284">
            <w:rPr>
              <w:rFonts w:cs="Tahoma"/>
              <w:lang w:eastAsia="es-GT"/>
            </w:rPr>
            <w:t xml:space="preserve">demiológica </w:t>
          </w:r>
          <w:r w:rsidR="00396C43">
            <w:rPr>
              <w:rFonts w:cs="Tahoma"/>
              <w:lang w:eastAsia="es-GT"/>
            </w:rPr>
            <w:t>Difteria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343" w:type="dxa"/>
        <w:tblLook w:val="04A0" w:firstRow="1" w:lastRow="0" w:firstColumn="1" w:lastColumn="0" w:noHBand="0" w:noVBand="1"/>
      </w:tblPr>
      <w:tblGrid>
        <w:gridCol w:w="1271"/>
        <w:gridCol w:w="2124"/>
        <w:gridCol w:w="1703"/>
        <w:gridCol w:w="1985"/>
        <w:gridCol w:w="1517"/>
        <w:gridCol w:w="1743"/>
      </w:tblGrid>
      <w:tr w:rsidR="00AC2B34" w:rsidRPr="00AC2B34" w14:paraId="7BB3EB01" w14:textId="77777777" w:rsidTr="00AC2B34">
        <w:trPr>
          <w:trHeight w:val="983"/>
        </w:trPr>
        <w:tc>
          <w:tcPr>
            <w:tcW w:w="1271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2124" w:type="dxa"/>
            <w:vAlign w:val="center"/>
          </w:tcPr>
          <w:p w14:paraId="7D7F4942" w14:textId="66C0B94D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sintomatología</w:t>
            </w:r>
          </w:p>
        </w:tc>
        <w:tc>
          <w:tcPr>
            <w:tcW w:w="1703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1985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17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1743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AC2B34" w:rsidRPr="00AC2B34" w14:paraId="15B799F0" w14:textId="77777777" w:rsidTr="00AC2B34">
        <w:trPr>
          <w:trHeight w:val="807"/>
        </w:trPr>
        <w:tc>
          <w:tcPr>
            <w:tcW w:w="1271" w:type="dxa"/>
          </w:tcPr>
          <w:p w14:paraId="404B7562" w14:textId="43E2C019" w:rsidR="00AC2B34" w:rsidRPr="00EA74D7" w:rsidRDefault="00EA74D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Cultivo</w:t>
            </w:r>
          </w:p>
        </w:tc>
        <w:tc>
          <w:tcPr>
            <w:tcW w:w="2124" w:type="dxa"/>
          </w:tcPr>
          <w:p w14:paraId="29E2F95C" w14:textId="4064E487" w:rsidR="00AC2B34" w:rsidRPr="00EA74D7" w:rsidRDefault="00396C43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 xml:space="preserve">Tiempo que se observen </w:t>
            </w:r>
            <w:proofErr w:type="spellStart"/>
            <w:r>
              <w:rPr>
                <w:rFonts w:cs="Tahoma"/>
                <w:b w:val="0"/>
                <w:sz w:val="18"/>
                <w:lang w:eastAsia="es-GT"/>
              </w:rPr>
              <w:t>pseudomembranas</w:t>
            </w:r>
            <w:proofErr w:type="spellEnd"/>
            <w:r>
              <w:rPr>
                <w:rFonts w:cs="Tahoma"/>
                <w:b w:val="0"/>
                <w:sz w:val="18"/>
                <w:lang w:eastAsia="es-GT"/>
              </w:rPr>
              <w:t xml:space="preserve"> </w:t>
            </w:r>
          </w:p>
        </w:tc>
        <w:tc>
          <w:tcPr>
            <w:tcW w:w="1703" w:type="dxa"/>
          </w:tcPr>
          <w:p w14:paraId="03850037" w14:textId="799FF372" w:rsidR="00AC2B34" w:rsidRPr="00EA74D7" w:rsidRDefault="00EA74D7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Hisopado faríngeo</w:t>
            </w:r>
            <w:r w:rsidR="001E542F">
              <w:rPr>
                <w:rFonts w:cs="Tahoma"/>
                <w:b w:val="0"/>
                <w:sz w:val="18"/>
                <w:lang w:eastAsia="es-GT"/>
              </w:rPr>
              <w:t xml:space="preserve">, </w:t>
            </w:r>
            <w:r w:rsidR="001E542F" w:rsidRPr="00EA74D7">
              <w:rPr>
                <w:rFonts w:cs="Tahoma"/>
                <w:b w:val="0"/>
                <w:sz w:val="18"/>
                <w:lang w:eastAsia="es-GT"/>
              </w:rPr>
              <w:t xml:space="preserve"> nasofaríngeo</w:t>
            </w:r>
            <w:r w:rsidR="001E542F">
              <w:rPr>
                <w:rFonts w:cs="Tahoma"/>
                <w:b w:val="0"/>
                <w:sz w:val="18"/>
                <w:lang w:eastAsia="es-GT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5D60B7D" w14:textId="77777777" w:rsidR="00EA74D7" w:rsidRPr="00EA74D7" w:rsidRDefault="00EA74D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Medio de transporte:</w:t>
            </w:r>
          </w:p>
          <w:p w14:paraId="7EF04993" w14:textId="14B16621" w:rsidR="00AC2B34" w:rsidRPr="00EA74D7" w:rsidRDefault="00396C43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proofErr w:type="spellStart"/>
            <w:r>
              <w:rPr>
                <w:rFonts w:cs="Tahoma"/>
                <w:b w:val="0"/>
                <w:sz w:val="18"/>
                <w:lang w:eastAsia="es-GT"/>
              </w:rPr>
              <w:t>Amies</w:t>
            </w:r>
            <w:proofErr w:type="spellEnd"/>
            <w:r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r w:rsidR="00654BC6">
              <w:rPr>
                <w:rFonts w:cs="Tahoma"/>
                <w:b w:val="0"/>
                <w:sz w:val="18"/>
                <w:lang w:eastAsia="es-GT"/>
              </w:rPr>
              <w:t>o Stuart</w:t>
            </w:r>
          </w:p>
        </w:tc>
        <w:tc>
          <w:tcPr>
            <w:tcW w:w="1517" w:type="dxa"/>
            <w:vAlign w:val="center"/>
          </w:tcPr>
          <w:p w14:paraId="165A78E3" w14:textId="77777777" w:rsidR="00AC2B34" w:rsidRPr="00654BC6" w:rsidRDefault="00EA74D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63437BD2" w14:textId="05B3EE23" w:rsidR="00EA74D7" w:rsidRPr="00654BC6" w:rsidRDefault="00EA74D7" w:rsidP="00EA74D7">
            <w:pPr>
              <w:jc w:val="center"/>
              <w:rPr>
                <w:sz w:val="18"/>
                <w:szCs w:val="18"/>
                <w:lang w:eastAsia="es-GT"/>
              </w:rPr>
            </w:pPr>
            <w:r w:rsidRPr="00654BC6">
              <w:rPr>
                <w:sz w:val="18"/>
                <w:szCs w:val="18"/>
                <w:lang w:eastAsia="es-GT"/>
              </w:rPr>
              <w:t>2-8°C</w:t>
            </w:r>
          </w:p>
        </w:tc>
        <w:tc>
          <w:tcPr>
            <w:tcW w:w="1743" w:type="dxa"/>
            <w:vAlign w:val="center"/>
          </w:tcPr>
          <w:p w14:paraId="3E336A06" w14:textId="77777777" w:rsidR="00EA74D7" w:rsidRPr="00654BC6" w:rsidRDefault="00EA74D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2EF20507" w14:textId="7539B586" w:rsidR="00654BC6" w:rsidRPr="00654BC6" w:rsidRDefault="00EA74D7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18"/>
                <w:szCs w:val="18"/>
                <w:lang w:eastAsia="es-GT"/>
              </w:rPr>
            </w:pPr>
            <w:r w:rsidRPr="00654BC6">
              <w:rPr>
                <w:b w:val="0"/>
                <w:sz w:val="18"/>
                <w:szCs w:val="18"/>
                <w:lang w:eastAsia="es-GT"/>
              </w:rPr>
              <w:t>2-8°C</w:t>
            </w:r>
            <w:r w:rsidR="00654BC6" w:rsidRPr="00654BC6">
              <w:rPr>
                <w:b w:val="0"/>
                <w:sz w:val="18"/>
                <w:szCs w:val="18"/>
                <w:lang w:eastAsia="es-GT"/>
              </w:rPr>
              <w:t xml:space="preserve">, envío inmediato </w:t>
            </w:r>
          </w:p>
        </w:tc>
      </w:tr>
      <w:tr w:rsidR="00654BC6" w:rsidRPr="00AC2B34" w14:paraId="689E2796" w14:textId="77777777" w:rsidTr="00AC2B34">
        <w:trPr>
          <w:trHeight w:val="807"/>
        </w:trPr>
        <w:tc>
          <w:tcPr>
            <w:tcW w:w="1271" w:type="dxa"/>
          </w:tcPr>
          <w:p w14:paraId="191056C2" w14:textId="7AB0F0B4" w:rsidR="00654BC6" w:rsidRPr="00EA74D7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Cultivo</w:t>
            </w:r>
          </w:p>
        </w:tc>
        <w:tc>
          <w:tcPr>
            <w:tcW w:w="2124" w:type="dxa"/>
          </w:tcPr>
          <w:p w14:paraId="22DD11D1" w14:textId="77777777" w:rsidR="00654BC6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703" w:type="dxa"/>
          </w:tcPr>
          <w:p w14:paraId="16014164" w14:textId="64A03470" w:rsidR="00654BC6" w:rsidRPr="00EA74D7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 xml:space="preserve">Porción de </w:t>
            </w:r>
            <w:proofErr w:type="spellStart"/>
            <w:r>
              <w:rPr>
                <w:rFonts w:cs="Tahoma"/>
                <w:b w:val="0"/>
                <w:sz w:val="18"/>
                <w:lang w:eastAsia="es-GT"/>
              </w:rPr>
              <w:t>pseudomembrana</w:t>
            </w:r>
            <w:proofErr w:type="spellEnd"/>
          </w:p>
        </w:tc>
        <w:tc>
          <w:tcPr>
            <w:tcW w:w="1985" w:type="dxa"/>
            <w:vAlign w:val="center"/>
          </w:tcPr>
          <w:p w14:paraId="49365139" w14:textId="20D0FE87" w:rsidR="00654BC6" w:rsidRPr="00EA74D7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Solución salina estéril</w:t>
            </w:r>
          </w:p>
        </w:tc>
        <w:tc>
          <w:tcPr>
            <w:tcW w:w="1517" w:type="dxa"/>
            <w:vAlign w:val="center"/>
          </w:tcPr>
          <w:p w14:paraId="0A85158B" w14:textId="77777777" w:rsidR="00654BC6" w:rsidRPr="00654BC6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43D6E4E1" w14:textId="2E98332A" w:rsidR="00654BC6" w:rsidRPr="00654BC6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b w:val="0"/>
                <w:sz w:val="18"/>
                <w:szCs w:val="18"/>
                <w:lang w:eastAsia="es-GT"/>
              </w:rPr>
              <w:t>2-8°C</w:t>
            </w:r>
          </w:p>
        </w:tc>
        <w:tc>
          <w:tcPr>
            <w:tcW w:w="1743" w:type="dxa"/>
            <w:vAlign w:val="center"/>
          </w:tcPr>
          <w:p w14:paraId="7493258D" w14:textId="77777777" w:rsidR="00654BC6" w:rsidRPr="00654BC6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2617582B" w14:textId="4C149605" w:rsidR="00654BC6" w:rsidRPr="00654BC6" w:rsidRDefault="00654BC6" w:rsidP="00654BC6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654BC6">
              <w:rPr>
                <w:b w:val="0"/>
                <w:sz w:val="18"/>
                <w:szCs w:val="18"/>
                <w:lang w:eastAsia="es-GT"/>
              </w:rPr>
              <w:t>2-8°C, envío inmediato</w:t>
            </w:r>
          </w:p>
        </w:tc>
      </w:tr>
    </w:tbl>
    <w:p w14:paraId="1A73CB5F" w14:textId="36E42C53" w:rsidR="001140FF" w:rsidRPr="00903649" w:rsidRDefault="002A2A38" w:rsidP="0090364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03649">
        <w:rPr>
          <w:rFonts w:cs="Tahoma"/>
          <w:lang w:eastAsia="es-GT"/>
        </w:rPr>
        <w:t>Requisitos de muestra y condiciones de transporte</w:t>
      </w:r>
    </w:p>
    <w:p w14:paraId="40957C1C" w14:textId="2B0272DE" w:rsidR="00EE3B65" w:rsidRPr="00095C37" w:rsidRDefault="00EE3B65" w:rsidP="00EE3B65">
      <w:pPr>
        <w:tabs>
          <w:tab w:val="center" w:pos="4819"/>
        </w:tabs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4D40B0E3" w:rsidR="005A5173" w:rsidRPr="00095C37" w:rsidRDefault="00EA74D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Nombre completo del paciente</w:t>
          </w:r>
          <w:r w:rsidR="0078313B">
            <w:rPr>
              <w:rFonts w:cs="Tahoma"/>
              <w:lang w:eastAsia="es-GT"/>
            </w:rPr>
            <w:t xml:space="preserve"> 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p w14:paraId="21D3782C" w14:textId="3D65B35A" w:rsidR="001E542F" w:rsidRDefault="00654BC6" w:rsidP="001E542F">
      <w:pPr>
        <w:rPr>
          <w:rFonts w:cs="Tahoma"/>
          <w:lang w:eastAsia="es-GT"/>
        </w:rPr>
      </w:pPr>
      <w:r>
        <w:rPr>
          <w:rFonts w:cs="Tahoma"/>
          <w:lang w:eastAsia="es-GT"/>
        </w:rPr>
        <w:t>Cinco</w:t>
      </w:r>
      <w:r w:rsidR="001E542F">
        <w:rPr>
          <w:rFonts w:cs="Tahoma"/>
          <w:lang w:eastAsia="es-GT"/>
        </w:rPr>
        <w:t xml:space="preserve"> días hábile</w:t>
      </w:r>
      <w:r w:rsidR="00334258">
        <w:rPr>
          <w:rFonts w:cs="Tahoma"/>
          <w:lang w:eastAsia="es-GT"/>
        </w:rPr>
        <w:t>s, a partir de su ingreso a la ventanilla de r</w:t>
      </w:r>
      <w:r w:rsidR="001E542F">
        <w:rPr>
          <w:rFonts w:cs="Tahoma"/>
          <w:lang w:eastAsia="es-GT"/>
        </w:rPr>
        <w:t>ecepción de muestras.</w:t>
      </w:r>
    </w:p>
    <w:p w14:paraId="110132C6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48B5EB8D" w:rsidR="00371CA9" w:rsidRPr="00095C37" w:rsidRDefault="004C6A63" w:rsidP="006412F3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 w:rsidR="002A094E">
            <w:rPr>
              <w:rFonts w:cs="Tahoma"/>
              <w:lang w:eastAsia="es-GT"/>
            </w:rPr>
            <w:t xml:space="preserve">El uso de antibiótico previo a la toma de muestra puede disminuir la carga bacteriana y producir falsos negativos. 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</w:p>
    <w:p w14:paraId="7F34E467" w14:textId="6380DFBD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p w14:paraId="16F8D7F0" w14:textId="019E669B" w:rsidR="0095666F" w:rsidRDefault="00EA74D7" w:rsidP="0095666F">
      <w:pPr>
        <w:rPr>
          <w:rFonts w:cs="Tahoma"/>
          <w:lang w:eastAsia="es-GT"/>
        </w:rPr>
      </w:pPr>
      <w:r>
        <w:rPr>
          <w:rFonts w:cs="Tahoma"/>
          <w:lang w:eastAsia="es-GT"/>
        </w:rPr>
        <w:t xml:space="preserve">Cultivo: </w:t>
      </w:r>
      <w:r w:rsidR="002A094E">
        <w:rPr>
          <w:rFonts w:cs="Tahoma"/>
          <w:lang w:eastAsia="es-GT"/>
        </w:rPr>
        <w:t xml:space="preserve">negativo para </w:t>
      </w:r>
      <w:proofErr w:type="spellStart"/>
      <w:r w:rsidR="00C3716C">
        <w:rPr>
          <w:rFonts w:cs="Tahoma"/>
          <w:i/>
          <w:lang w:eastAsia="es-GT"/>
        </w:rPr>
        <w:t>Corynebacterium</w:t>
      </w:r>
      <w:proofErr w:type="spellEnd"/>
      <w:r w:rsidR="00C3716C">
        <w:rPr>
          <w:rFonts w:cs="Tahoma"/>
          <w:i/>
          <w:lang w:eastAsia="es-GT"/>
        </w:rPr>
        <w:t xml:space="preserve"> </w:t>
      </w:r>
      <w:proofErr w:type="spellStart"/>
      <w:r w:rsidR="00C3716C">
        <w:rPr>
          <w:rFonts w:cs="Tahoma"/>
          <w:i/>
          <w:lang w:eastAsia="es-GT"/>
        </w:rPr>
        <w:t>dipht</w:t>
      </w:r>
      <w:r w:rsidR="00654BC6">
        <w:rPr>
          <w:rFonts w:cs="Tahoma"/>
          <w:i/>
          <w:lang w:eastAsia="es-GT"/>
        </w:rPr>
        <w:t>h</w:t>
      </w:r>
      <w:r w:rsidR="00C3716C">
        <w:rPr>
          <w:rFonts w:cs="Tahoma"/>
          <w:i/>
          <w:lang w:eastAsia="es-GT"/>
        </w:rPr>
        <w:t>eriae</w:t>
      </w:r>
      <w:proofErr w:type="spellEnd"/>
      <w:r w:rsidR="002A094E">
        <w:rPr>
          <w:rFonts w:cs="Tahoma"/>
          <w:lang w:eastAsia="es-GT"/>
        </w:rPr>
        <w:t>.</w:t>
      </w:r>
      <w:r>
        <w:rPr>
          <w:rFonts w:cs="Tahoma"/>
          <w:lang w:eastAsia="es-GT"/>
        </w:rPr>
        <w:t xml:space="preserve"> </w:t>
      </w:r>
    </w:p>
    <w:p w14:paraId="393E06F8" w14:textId="77777777" w:rsidR="00EA74D7" w:rsidRDefault="00EA74D7" w:rsidP="0095666F">
      <w:pPr>
        <w:rPr>
          <w:lang w:eastAsia="es-GT"/>
        </w:rPr>
      </w:pPr>
    </w:p>
    <w:p w14:paraId="02AEC13E" w14:textId="56760965" w:rsidR="0095666F" w:rsidRDefault="0095666F" w:rsidP="0095666F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t>Criterio de aceptación o rechazo de muestra</w:t>
      </w:r>
    </w:p>
    <w:sdt>
      <w:sdtPr>
        <w:rPr>
          <w:rFonts w:cs="Tahoma"/>
          <w:lang w:eastAsia="es-GT"/>
        </w:rPr>
        <w:id w:val="1522288717"/>
        <w:placeholder>
          <w:docPart w:val="CE2861A5E1424867826604BF93BB5F05"/>
        </w:placeholder>
      </w:sdtPr>
      <w:sdtEndPr/>
      <w:sdtContent>
        <w:p w14:paraId="256E37AB" w14:textId="1273DC4A" w:rsidR="00903649" w:rsidRPr="00654BC6" w:rsidRDefault="00903649" w:rsidP="0095666F">
          <w:pPr>
            <w:rPr>
              <w:rFonts w:cs="Tahoma"/>
              <w:lang w:eastAsia="es-GT"/>
            </w:rPr>
          </w:pPr>
          <w:r w:rsidRPr="00654BC6">
            <w:rPr>
              <w:rFonts w:cs="Tahoma"/>
              <w:lang w:eastAsia="es-GT"/>
            </w:rPr>
            <w:t xml:space="preserve">Aceptación: </w:t>
          </w:r>
        </w:p>
        <w:p w14:paraId="55EBA25D" w14:textId="1A698959" w:rsidR="00903649" w:rsidRPr="00654BC6" w:rsidRDefault="00903649" w:rsidP="00903649">
          <w:pPr>
            <w:pStyle w:val="Prrafodelista"/>
            <w:numPr>
              <w:ilvl w:val="0"/>
              <w:numId w:val="10"/>
            </w:numPr>
            <w:rPr>
              <w:rFonts w:cs="Tahoma"/>
              <w:lang w:eastAsia="es-GT"/>
            </w:rPr>
          </w:pPr>
          <w:r w:rsidRPr="00654BC6">
            <w:rPr>
              <w:rFonts w:cs="Tahoma"/>
              <w:lang w:eastAsia="es-GT"/>
            </w:rPr>
            <w:t>Cultivo: Hisopado faríngeo</w:t>
          </w:r>
          <w:r w:rsidR="00654BC6" w:rsidRPr="00654BC6">
            <w:rPr>
              <w:rFonts w:cs="Tahoma"/>
              <w:lang w:eastAsia="es-GT"/>
            </w:rPr>
            <w:t xml:space="preserve"> o</w:t>
          </w:r>
          <w:r w:rsidR="00C3716C" w:rsidRPr="00654BC6">
            <w:rPr>
              <w:rFonts w:cs="Tahoma"/>
              <w:lang w:eastAsia="es-GT"/>
            </w:rPr>
            <w:t xml:space="preserve"> nasofaríngeo </w:t>
          </w:r>
          <w:r w:rsidRPr="00654BC6">
            <w:rPr>
              <w:rFonts w:cs="Tahoma"/>
              <w:lang w:eastAsia="es-GT"/>
            </w:rPr>
            <w:t xml:space="preserve">en medio de </w:t>
          </w:r>
          <w:r w:rsidR="00C3716C" w:rsidRPr="00654BC6">
            <w:rPr>
              <w:rFonts w:cs="Tahoma"/>
              <w:lang w:eastAsia="es-GT"/>
            </w:rPr>
            <w:t>transporte</w:t>
          </w:r>
          <w:r w:rsidRPr="00654BC6">
            <w:rPr>
              <w:rFonts w:cs="Tahoma"/>
              <w:lang w:eastAsia="es-GT"/>
            </w:rPr>
            <w:t xml:space="preserve"> </w:t>
          </w:r>
          <w:proofErr w:type="spellStart"/>
          <w:r w:rsidR="00C3716C" w:rsidRPr="00654BC6">
            <w:rPr>
              <w:rFonts w:cs="Tahoma"/>
              <w:lang w:eastAsia="es-GT"/>
            </w:rPr>
            <w:t>Amies</w:t>
          </w:r>
          <w:proofErr w:type="spellEnd"/>
          <w:r w:rsidR="00654BC6" w:rsidRPr="00654BC6">
            <w:rPr>
              <w:rFonts w:cs="Tahoma"/>
              <w:lang w:eastAsia="es-GT"/>
            </w:rPr>
            <w:t xml:space="preserve"> o Stuart;  o porción de </w:t>
          </w:r>
          <w:proofErr w:type="spellStart"/>
          <w:r w:rsidR="00654BC6" w:rsidRPr="00654BC6">
            <w:rPr>
              <w:rFonts w:cs="Tahoma"/>
              <w:lang w:eastAsia="es-GT"/>
            </w:rPr>
            <w:t>pseudomembrana</w:t>
          </w:r>
          <w:proofErr w:type="spellEnd"/>
          <w:r w:rsidR="00654BC6" w:rsidRPr="00654BC6">
            <w:rPr>
              <w:rFonts w:cs="Tahoma"/>
              <w:lang w:eastAsia="es-GT"/>
            </w:rPr>
            <w:t xml:space="preserve"> en recipiente con solución salina sin formalina.</w:t>
          </w:r>
          <w:r w:rsidR="00C3716C" w:rsidRPr="00654BC6">
            <w:rPr>
              <w:rFonts w:cs="Tahoma"/>
              <w:lang w:eastAsia="es-GT"/>
            </w:rPr>
            <w:t xml:space="preserve"> </w:t>
          </w:r>
          <w:r w:rsidR="00054D76" w:rsidRPr="00654BC6">
            <w:rPr>
              <w:rFonts w:cs="Tahoma"/>
              <w:lang w:eastAsia="es-GT"/>
            </w:rPr>
            <w:t xml:space="preserve">La muestra debe ser trasladada lo más pronto posible al Laboratorio Nacional de Salud. </w:t>
          </w:r>
        </w:p>
        <w:p w14:paraId="2D9F8B6C" w14:textId="77777777" w:rsidR="00903649" w:rsidRPr="00654BC6" w:rsidRDefault="002764FC" w:rsidP="0095666F">
          <w:pPr>
            <w:rPr>
              <w:rFonts w:cs="Tahoma"/>
              <w:lang w:eastAsia="es-GT"/>
            </w:rPr>
          </w:pPr>
          <w:r w:rsidRPr="00654BC6">
            <w:rPr>
              <w:rFonts w:cs="Tahoma"/>
              <w:lang w:eastAsia="es-GT"/>
            </w:rPr>
            <w:t>Rechazo:</w:t>
          </w:r>
        </w:p>
        <w:p w14:paraId="69DEE6D1" w14:textId="77777777" w:rsidR="00654BC6" w:rsidRPr="00654BC6" w:rsidRDefault="00654BC6" w:rsidP="00334258">
          <w:pPr>
            <w:numPr>
              <w:ilvl w:val="0"/>
              <w:numId w:val="11"/>
            </w:numPr>
            <w:jc w:val="left"/>
            <w:rPr>
              <w:rFonts w:cs="Tahoma"/>
            </w:rPr>
          </w:pPr>
          <w:r w:rsidRPr="00654BC6">
            <w:rPr>
              <w:rFonts w:cs="Tahoma"/>
            </w:rPr>
            <w:t>Tipo de muestra inadecuado.</w:t>
          </w:r>
        </w:p>
        <w:p w14:paraId="2FBDE35D" w14:textId="07394ED9" w:rsidR="0095666F" w:rsidRPr="00654BC6" w:rsidRDefault="00654BC6" w:rsidP="00334258">
          <w:pPr>
            <w:numPr>
              <w:ilvl w:val="0"/>
              <w:numId w:val="11"/>
            </w:numPr>
            <w:jc w:val="left"/>
            <w:rPr>
              <w:rFonts w:cs="Tahoma"/>
            </w:rPr>
          </w:pPr>
          <w:r w:rsidRPr="00654BC6">
            <w:rPr>
              <w:rFonts w:cs="Tahoma"/>
            </w:rPr>
            <w:lastRenderedPageBreak/>
            <w:t>Muestra adecuada en medio de transporte inadecuado.</w:t>
          </w:r>
        </w:p>
      </w:sdtContent>
    </w:sdt>
    <w:p w14:paraId="22C83BAE" w14:textId="77777777" w:rsidR="0095666F" w:rsidRPr="0095666F" w:rsidRDefault="0095666F" w:rsidP="0095666F">
      <w:pPr>
        <w:rPr>
          <w:lang w:eastAsia="es-GT"/>
        </w:rPr>
      </w:pPr>
    </w:p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76AEC5" w14:textId="436F149D" w:rsidR="00371CA9" w:rsidRPr="00095C37" w:rsidRDefault="004C6A63" w:rsidP="006412F3">
      <w:pPr>
        <w:tabs>
          <w:tab w:val="left" w:pos="373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DefaultPlaceholder_1081868574"/>
          </w:placeholder>
        </w:sdtPr>
        <w:sdtEndPr/>
        <w:sdtContent>
          <w:r w:rsidR="00654BC6">
            <w:rPr>
              <w:rFonts w:cs="Tahoma"/>
              <w:lang w:eastAsia="es-GT"/>
            </w:rPr>
            <w:t>Cualquier consulta sobre las i</w:t>
          </w:r>
          <w:r w:rsidR="00CB0F30">
            <w:rPr>
              <w:rFonts w:cs="Tahoma"/>
              <w:lang w:eastAsia="es-GT"/>
            </w:rPr>
            <w:t xml:space="preserve">nstrucciones </w:t>
          </w:r>
          <w:r w:rsidR="00654BC6">
            <w:rPr>
              <w:rFonts w:cs="Tahoma"/>
              <w:lang w:eastAsia="es-GT"/>
            </w:rPr>
            <w:t xml:space="preserve">comunicarse </w:t>
          </w:r>
          <w:r w:rsidR="00CB0F30">
            <w:rPr>
              <w:rFonts w:cs="Tahoma"/>
              <w:lang w:eastAsia="es-GT"/>
            </w:rPr>
            <w:t xml:space="preserve">al correo </w:t>
          </w:r>
          <w:hyperlink r:id="rId8" w:history="1">
            <w:r w:rsidR="00CB0F30" w:rsidRPr="0087401B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CB0F30">
            <w:rPr>
              <w:rFonts w:cs="Tahoma"/>
              <w:lang w:eastAsia="es-GT"/>
            </w:rPr>
            <w:t xml:space="preserve"> </w:t>
          </w:r>
          <w:r>
            <w:rPr>
              <w:rFonts w:cs="Tahoma"/>
              <w:lang w:eastAsia="es-GT"/>
            </w:rPr>
            <w:t xml:space="preserve">o al teléfono </w:t>
          </w:r>
          <w:sdt>
            <w:sdtPr>
              <w:rPr>
                <w:rFonts w:cs="Tahoma"/>
                <w:lang w:eastAsia="es-GT"/>
              </w:rPr>
              <w:id w:val="1403250762"/>
              <w:placeholder>
                <w:docPart w:val="83021711562D4F0894586F47004D0E52"/>
              </w:placeholder>
            </w:sdtPr>
            <w:sdtContent>
              <w:r>
                <w:rPr>
                  <w:rFonts w:cs="Tahoma"/>
                  <w:lang w:eastAsia="es-GT"/>
                </w:rPr>
                <w:t xml:space="preserve">PBX (+502) 6644-0599 ext. 213 </w:t>
              </w:r>
            </w:sdtContent>
          </w:sdt>
          <w:r>
            <w:rPr>
              <w:rFonts w:cs="Tahoma"/>
              <w:lang w:eastAsia="es-GT"/>
            </w:rPr>
            <w:t xml:space="preserve">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50E4C4E1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46EC5DDF" w14:textId="53D189F3" w:rsidR="006412F3" w:rsidRPr="00095C37" w:rsidRDefault="00053E30" w:rsidP="00A33169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="006412F3"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DefaultPlaceholder_1081868574"/>
        </w:placeholder>
      </w:sdtPr>
      <w:sdtEndPr/>
      <w:sdtContent>
        <w:p w14:paraId="74DA0994" w14:textId="411F9D4E" w:rsidR="006412F3" w:rsidRPr="00095C37" w:rsidRDefault="00CB0F30" w:rsidP="006412F3">
          <w:pPr>
            <w:rPr>
              <w:rFonts w:cs="Tahoma"/>
            </w:rPr>
          </w:pPr>
          <w:r>
            <w:rPr>
              <w:rFonts w:cs="Tahoma"/>
            </w:rPr>
            <w:t xml:space="preserve">Lda. </w:t>
          </w:r>
          <w:proofErr w:type="spellStart"/>
          <w:r>
            <w:rPr>
              <w:rFonts w:cs="Tahoma"/>
            </w:rPr>
            <w:t>Yndira</w:t>
          </w:r>
          <w:proofErr w:type="spellEnd"/>
          <w:r>
            <w:rPr>
              <w:rFonts w:cs="Tahoma"/>
            </w:rPr>
            <w:t xml:space="preserve"> Gálvez, </w:t>
          </w:r>
          <w:r w:rsidR="00903649">
            <w:rPr>
              <w:rFonts w:cs="Tahoma"/>
            </w:rPr>
            <w:t>L</w:t>
          </w:r>
          <w:r w:rsidR="002764FC">
            <w:rPr>
              <w:rFonts w:cs="Tahoma"/>
            </w:rPr>
            <w:t>da. Anna Lucía Quinto</w:t>
          </w:r>
          <w:r>
            <w:rPr>
              <w:rFonts w:cs="Tahoma"/>
            </w:rPr>
            <w:t>,</w:t>
          </w:r>
          <w:r w:rsidR="00903649">
            <w:rPr>
              <w:rFonts w:cs="Tahoma"/>
            </w:rPr>
            <w:t xml:space="preserve"> Lda. Carmen Julia Mazariegos</w:t>
          </w:r>
        </w:p>
      </w:sdtContent>
    </w:sdt>
    <w:p w14:paraId="4F5F927C" w14:textId="4E654EAE" w:rsidR="00EA4A3E" w:rsidRPr="00095C37" w:rsidRDefault="00EA4A3E" w:rsidP="00E9700E">
      <w:pPr>
        <w:spacing w:after="160" w:line="259" w:lineRule="auto"/>
        <w:jc w:val="left"/>
        <w:rPr>
          <w:rFonts w:cs="Tahoma"/>
          <w:lang w:eastAsia="es-GT"/>
        </w:rPr>
      </w:pPr>
      <w:bookmarkStart w:id="0" w:name="_GoBack"/>
      <w:bookmarkEnd w:id="0"/>
    </w:p>
    <w:sectPr w:rsidR="00EA4A3E" w:rsidRPr="00095C37" w:rsidSect="00E0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F3CB" w14:textId="77777777" w:rsidR="0056478A" w:rsidRDefault="0056478A" w:rsidP="009B385F">
      <w:r>
        <w:separator/>
      </w:r>
    </w:p>
  </w:endnote>
  <w:endnote w:type="continuationSeparator" w:id="0">
    <w:p w14:paraId="607F8784" w14:textId="77777777" w:rsidR="0056478A" w:rsidRDefault="0056478A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6CB9" w14:textId="77777777" w:rsidR="0056478A" w:rsidRDefault="0056478A" w:rsidP="009B385F">
      <w:r>
        <w:separator/>
      </w:r>
    </w:p>
  </w:footnote>
  <w:footnote w:type="continuationSeparator" w:id="0">
    <w:p w14:paraId="4185B2F9" w14:textId="77777777" w:rsidR="0056478A" w:rsidRDefault="0056478A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1C9F1D56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A63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A63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1C9F1D56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C6A6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C6A6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9D9"/>
    <w:multiLevelType w:val="hybridMultilevel"/>
    <w:tmpl w:val="186653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C59"/>
    <w:multiLevelType w:val="hybridMultilevel"/>
    <w:tmpl w:val="4B28CC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166B3"/>
    <w:multiLevelType w:val="multilevel"/>
    <w:tmpl w:val="7E24B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7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37684"/>
    <w:rsid w:val="00053E30"/>
    <w:rsid w:val="00054D76"/>
    <w:rsid w:val="0007742E"/>
    <w:rsid w:val="00095C37"/>
    <w:rsid w:val="000D2D39"/>
    <w:rsid w:val="000D353C"/>
    <w:rsid w:val="001013C3"/>
    <w:rsid w:val="0010674A"/>
    <w:rsid w:val="001140FF"/>
    <w:rsid w:val="00165AB5"/>
    <w:rsid w:val="001722C8"/>
    <w:rsid w:val="00190E89"/>
    <w:rsid w:val="001960D7"/>
    <w:rsid w:val="001E542F"/>
    <w:rsid w:val="00220BEB"/>
    <w:rsid w:val="002764FC"/>
    <w:rsid w:val="00282287"/>
    <w:rsid w:val="002A094E"/>
    <w:rsid w:val="002A2A38"/>
    <w:rsid w:val="002D1376"/>
    <w:rsid w:val="002D6C8C"/>
    <w:rsid w:val="00334258"/>
    <w:rsid w:val="003532B5"/>
    <w:rsid w:val="00371CA9"/>
    <w:rsid w:val="00396C43"/>
    <w:rsid w:val="0042544C"/>
    <w:rsid w:val="00431284"/>
    <w:rsid w:val="00445EA4"/>
    <w:rsid w:val="00456270"/>
    <w:rsid w:val="004678A1"/>
    <w:rsid w:val="004C6A63"/>
    <w:rsid w:val="004F3B91"/>
    <w:rsid w:val="0056478A"/>
    <w:rsid w:val="005A307C"/>
    <w:rsid w:val="005A5173"/>
    <w:rsid w:val="005E425D"/>
    <w:rsid w:val="0061351B"/>
    <w:rsid w:val="006412F3"/>
    <w:rsid w:val="00654BC6"/>
    <w:rsid w:val="006C010E"/>
    <w:rsid w:val="00757FD0"/>
    <w:rsid w:val="00771D6A"/>
    <w:rsid w:val="0078313B"/>
    <w:rsid w:val="007C5CFD"/>
    <w:rsid w:val="007E112D"/>
    <w:rsid w:val="007F4C1E"/>
    <w:rsid w:val="00826051"/>
    <w:rsid w:val="008E0D9F"/>
    <w:rsid w:val="00903649"/>
    <w:rsid w:val="0095426D"/>
    <w:rsid w:val="0095666F"/>
    <w:rsid w:val="009864AF"/>
    <w:rsid w:val="009A5631"/>
    <w:rsid w:val="009B385F"/>
    <w:rsid w:val="009C3C6D"/>
    <w:rsid w:val="00A01DEF"/>
    <w:rsid w:val="00A301E3"/>
    <w:rsid w:val="00A3206C"/>
    <w:rsid w:val="00A33169"/>
    <w:rsid w:val="00A76841"/>
    <w:rsid w:val="00AC2B34"/>
    <w:rsid w:val="00B14E91"/>
    <w:rsid w:val="00B84ECD"/>
    <w:rsid w:val="00BD3BF3"/>
    <w:rsid w:val="00BF472C"/>
    <w:rsid w:val="00C01C87"/>
    <w:rsid w:val="00C11159"/>
    <w:rsid w:val="00C3716C"/>
    <w:rsid w:val="00CB0F30"/>
    <w:rsid w:val="00CF3A75"/>
    <w:rsid w:val="00D12147"/>
    <w:rsid w:val="00D425C4"/>
    <w:rsid w:val="00D7731B"/>
    <w:rsid w:val="00D868EF"/>
    <w:rsid w:val="00DD20F5"/>
    <w:rsid w:val="00DD5BF6"/>
    <w:rsid w:val="00DF40DB"/>
    <w:rsid w:val="00E071DD"/>
    <w:rsid w:val="00E81C58"/>
    <w:rsid w:val="00E9700E"/>
    <w:rsid w:val="00EA4A3E"/>
    <w:rsid w:val="00EA74D7"/>
    <w:rsid w:val="00EB5128"/>
    <w:rsid w:val="00EE3B65"/>
    <w:rsid w:val="00F003F2"/>
    <w:rsid w:val="00F14DCE"/>
    <w:rsid w:val="00F75058"/>
    <w:rsid w:val="00F873D3"/>
    <w:rsid w:val="00FA5B5F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B0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861A5E1424867826604BF93B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665F-3A5C-4C88-911B-67C7C976C570}"/>
      </w:docPartPr>
      <w:docPartBody>
        <w:p w:rsidR="000A02FB" w:rsidRDefault="00257AE0" w:rsidP="00257AE0">
          <w:pPr>
            <w:pStyle w:val="CE2861A5E1424867826604BF93BB5F05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021711562D4F0894586F47004D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FC5A-5842-4D4A-AEC2-0A5BE79268A1}"/>
      </w:docPartPr>
      <w:docPartBody>
        <w:p w:rsidR="00000000" w:rsidRDefault="007D5F62" w:rsidP="007D5F62">
          <w:pPr>
            <w:pStyle w:val="83021711562D4F0894586F47004D0E52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A02FB"/>
    <w:rsid w:val="000A2307"/>
    <w:rsid w:val="00165009"/>
    <w:rsid w:val="001C49EB"/>
    <w:rsid w:val="001F39D1"/>
    <w:rsid w:val="002212D6"/>
    <w:rsid w:val="00257AE0"/>
    <w:rsid w:val="0035002D"/>
    <w:rsid w:val="004E31DA"/>
    <w:rsid w:val="00545B45"/>
    <w:rsid w:val="007D5F62"/>
    <w:rsid w:val="00874079"/>
    <w:rsid w:val="008E69EF"/>
    <w:rsid w:val="009027C9"/>
    <w:rsid w:val="00992920"/>
    <w:rsid w:val="00A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F62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  <w:style w:type="paragraph" w:customStyle="1" w:styleId="83021711562D4F0894586F47004D0E52">
    <w:name w:val="83021711562D4F0894586F47004D0E52"/>
    <w:rsid w:val="007D5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0250-350E-4182-9893-A9024BF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12</cp:revision>
  <cp:lastPrinted>2019-10-16T16:19:00Z</cp:lastPrinted>
  <dcterms:created xsi:type="dcterms:W3CDTF">2019-11-13T20:36:00Z</dcterms:created>
  <dcterms:modified xsi:type="dcterms:W3CDTF">2021-01-11T13:56:00Z</dcterms:modified>
</cp:coreProperties>
</file>